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2711" w14:textId="15714011" w:rsidR="00306165" w:rsidRDefault="00D61D05">
      <w:r w:rsidRPr="00D61D0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379A9" wp14:editId="46536CB4">
                <wp:simplePos x="0" y="0"/>
                <wp:positionH relativeFrom="margin">
                  <wp:posOffset>-211007</wp:posOffset>
                </wp:positionH>
                <wp:positionV relativeFrom="paragraph">
                  <wp:posOffset>-249555</wp:posOffset>
                </wp:positionV>
                <wp:extent cx="7230675" cy="567463"/>
                <wp:effectExtent l="0" t="0" r="0" b="0"/>
                <wp:wrapNone/>
                <wp:docPr id="28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675" cy="5674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B6354" w14:textId="77777777" w:rsidR="00D61D05" w:rsidRPr="00D61D05" w:rsidRDefault="00D61D05" w:rsidP="00D61D0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61D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 México, la tasa específica de fecundidad adolescente se redujo un 16.7 por ciento, al descender de 72.38 a 60.26 nacimientos (2015 a 2023) por cada mil adolescentes (15 a 19 años).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379A9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margin-left:-16.6pt;margin-top:-19.65pt;width:569.35pt;height:44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" filled="f" stroked="f">
                <v:textbox style="mso-fit-shape-to-text:t" inset="0,1.05pt,0,0">
                  <w:txbxContent>
                    <w:p w14:paraId="2E4B6354" w14:textId="77777777" w:rsidR="00D61D05" w:rsidRPr="00D61D05" w:rsidRDefault="00D61D05" w:rsidP="00D61D0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61D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 México, la tasa específica de fecundidad adolescente se redujo un 16.7 por ciento, al descender de 72.38 a 60.26 nacimientos (2015 a 2023) por cada mil adolescentes (15 a 19 años).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D2C9B" w14:textId="107C18D8" w:rsidR="00D61D05" w:rsidRDefault="00D61D05">
      <w:r w:rsidRPr="00D61D0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B8B04" wp14:editId="23EF084B">
                <wp:simplePos x="0" y="0"/>
                <wp:positionH relativeFrom="column">
                  <wp:posOffset>683324</wp:posOffset>
                </wp:positionH>
                <wp:positionV relativeFrom="paragraph">
                  <wp:posOffset>27604</wp:posOffset>
                </wp:positionV>
                <wp:extent cx="5416070" cy="198131"/>
                <wp:effectExtent l="0" t="0" r="0" b="0"/>
                <wp:wrapNone/>
                <wp:docPr id="26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0" cy="198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5AAC7" w14:textId="77777777" w:rsidR="00D61D05" w:rsidRDefault="00D61D05" w:rsidP="00D61D05">
                            <w:pPr>
                              <w:spacing w:before="21"/>
                              <w:ind w:left="274" w:right="14" w:hanging="25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4E1224"/>
                                <w:spacing w:val="-10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E1224"/>
                                <w:spacing w:val="-10"/>
                                <w:kern w:val="24"/>
                              </w:rPr>
                              <w:t>México. Tasa específica de fecundidad adolescente, 1970-2070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8B04" id="_x0000_s1027" type="#_x0000_t202" style="position:absolute;margin-left:53.8pt;margin-top:2.15pt;width:426.4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" filled="f" stroked="f">
                <v:textbox style="mso-fit-shape-to-text:t" inset="0,1.05pt,0,0">
                  <w:txbxContent>
                    <w:p w14:paraId="7855AAC7" w14:textId="77777777" w:rsidR="00D61D05" w:rsidRDefault="00D61D05" w:rsidP="00D61D05">
                      <w:pPr>
                        <w:spacing w:before="21"/>
                        <w:ind w:left="274" w:right="14" w:hanging="259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4E1224"/>
                          <w:spacing w:val="-10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E1224"/>
                          <w:spacing w:val="-10"/>
                          <w:kern w:val="24"/>
                        </w:rPr>
                        <w:t>México. Tasa específica de fecundidad adolescente, 1970-2070</w:t>
                      </w:r>
                    </w:p>
                  </w:txbxContent>
                </v:textbox>
              </v:shape>
            </w:pict>
          </mc:Fallback>
        </mc:AlternateContent>
      </w:r>
    </w:p>
    <w:p w14:paraId="15A5358F" w14:textId="67BAD45C" w:rsidR="00D61D05" w:rsidRDefault="00D61D05">
      <w:r w:rsidRPr="00D61D05">
        <w:drawing>
          <wp:anchor distT="0" distB="0" distL="114300" distR="114300" simplePos="0" relativeHeight="251658240" behindDoc="1" locked="0" layoutInCell="1" allowOverlap="1" wp14:anchorId="525CFACA" wp14:editId="47FFC831">
            <wp:simplePos x="0" y="0"/>
            <wp:positionH relativeFrom="column">
              <wp:posOffset>1059815</wp:posOffset>
            </wp:positionH>
            <wp:positionV relativeFrom="paragraph">
              <wp:posOffset>50800</wp:posOffset>
            </wp:positionV>
            <wp:extent cx="4836160" cy="2781300"/>
            <wp:effectExtent l="0" t="0" r="254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B1C7D" w14:textId="0600CCBB" w:rsidR="00D61D05" w:rsidRDefault="00D61D05"/>
    <w:p w14:paraId="6F09C719" w14:textId="3B0E2AA7" w:rsidR="00D61D05" w:rsidRDefault="00D61D05"/>
    <w:p w14:paraId="4CDD1BBB" w14:textId="5BB71883" w:rsidR="00D61D05" w:rsidRDefault="00D61D05"/>
    <w:p w14:paraId="461C8E4D" w14:textId="6927EB02" w:rsidR="00D61D05" w:rsidRDefault="00D61D05"/>
    <w:p w14:paraId="22972DC8" w14:textId="2105760A" w:rsidR="00D61D05" w:rsidRDefault="00D61D05"/>
    <w:p w14:paraId="26CF5A5C" w14:textId="3AED702F" w:rsidR="00D61D05" w:rsidRDefault="00D61D05"/>
    <w:p w14:paraId="169E3D6B" w14:textId="582A008E" w:rsidR="00D61D05" w:rsidRDefault="00D61D05"/>
    <w:p w14:paraId="538238EE" w14:textId="45777FFA" w:rsidR="00D61D05" w:rsidRDefault="00D61D05"/>
    <w:p w14:paraId="2DE5F0A0" w14:textId="3CE02FE6" w:rsidR="00D61D05" w:rsidRDefault="00D61D05"/>
    <w:p w14:paraId="3BC0EA5D" w14:textId="10AD21C2" w:rsidR="00D61D05" w:rsidRDefault="00D61D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D687B" wp14:editId="7C6AB22A">
                <wp:simplePos x="0" y="0"/>
                <wp:positionH relativeFrom="column">
                  <wp:posOffset>-110869</wp:posOffset>
                </wp:positionH>
                <wp:positionV relativeFrom="paragraph">
                  <wp:posOffset>133286</wp:posOffset>
                </wp:positionV>
                <wp:extent cx="7208574" cy="1477010"/>
                <wp:effectExtent l="0" t="0" r="0" b="0"/>
                <wp:wrapNone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74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5831C" w14:textId="77777777" w:rsidR="00D61D05" w:rsidRPr="00D61D05" w:rsidRDefault="00D61D05" w:rsidP="00D61D05">
                            <w:pPr>
                              <w:jc w:val="both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61D0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En Michoacán, la tasa específica de fecundidad adolescente se redujo en 15.01 por ciento, al descender de 78.74 a 66.92 nacimientos (2016 a 2023) por cada mil adolescentes (15 a 19 años).</w:t>
                            </w:r>
                          </w:p>
                          <w:p w14:paraId="51B3A08A" w14:textId="3832166C" w:rsidR="00D61D05" w:rsidRPr="00D61D05" w:rsidRDefault="00D61D05" w:rsidP="00D61D05">
                            <w:pPr>
                              <w:jc w:val="both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61D0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Esta reducción en la TEF implica que se evitaron aproximadamente 4,775 nacimientos en adolescentes de 15 a 19 años entre 2016 y 2023, es </w:t>
                            </w:r>
                            <w:r w:rsidRPr="00D61D0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decir, casi</w:t>
                            </w:r>
                            <w:r w:rsidRPr="00D61D05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34 nacimientos diarios en el periodo.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D687B" id="CuadroTexto 2" o:spid="_x0000_s1028" type="#_x0000_t202" style="position:absolute;margin-left:-8.75pt;margin-top:10.5pt;width:567.6pt;height:116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" filled="f" stroked="f">
                <v:textbox style="mso-fit-shape-to-text:t">
                  <w:txbxContent>
                    <w:p w14:paraId="5CF5831C" w14:textId="77777777" w:rsidR="00D61D05" w:rsidRPr="00D61D05" w:rsidRDefault="00D61D05" w:rsidP="00D61D05">
                      <w:pPr>
                        <w:jc w:val="both"/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61D05"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</w:rPr>
                        <w:t>En Michoacán, la tasa específica de fecundidad adolescente se redujo en 15.01 por ciento, al descender de 78.74 a 66.92 nacimientos (2016 a 2023) por cada mil adolescentes (15 a 19 años).</w:t>
                      </w:r>
                    </w:p>
                    <w:p w14:paraId="51B3A08A" w14:textId="3832166C" w:rsidR="00D61D05" w:rsidRPr="00D61D05" w:rsidRDefault="00D61D05" w:rsidP="00D61D05">
                      <w:pPr>
                        <w:jc w:val="both"/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61D05"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Esta reducción en la TEF implica que se evitaron aproximadamente 4,775 nacimientos en adolescentes de 15 a 19 años entre 2016 y 2023, es </w:t>
                      </w:r>
                      <w:r w:rsidRPr="00D61D05"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</w:rPr>
                        <w:t>decir, casi</w:t>
                      </w:r>
                      <w:r w:rsidRPr="00D61D05"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</w:rPr>
                        <w:t xml:space="preserve"> 34 nacimientos diarios en el periodo.</w:t>
                      </w:r>
                    </w:p>
                  </w:txbxContent>
                </v:textbox>
              </v:shape>
            </w:pict>
          </mc:Fallback>
        </mc:AlternateContent>
      </w:r>
    </w:p>
    <w:p w14:paraId="1B4E9D08" w14:textId="3B002C38" w:rsidR="00D61D05" w:rsidRDefault="00D61D05"/>
    <w:p w14:paraId="1CDD150D" w14:textId="6C206654" w:rsidR="00D61D05" w:rsidRDefault="00D61D05"/>
    <w:p w14:paraId="2CC4974D" w14:textId="1503E1C4" w:rsidR="00D61D05" w:rsidRDefault="00D61D05"/>
    <w:p w14:paraId="7FDDF94A" w14:textId="737FA567" w:rsidR="00D61D05" w:rsidRDefault="00D61D05"/>
    <w:p w14:paraId="12B700FC" w14:textId="02F94833" w:rsidR="00D61D05" w:rsidRDefault="00D61D05">
      <w:r w:rsidRPr="00D61D0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321CF" wp14:editId="5DC7BAA2">
                <wp:simplePos x="0" y="0"/>
                <wp:positionH relativeFrom="margin">
                  <wp:align>center</wp:align>
                </wp:positionH>
                <wp:positionV relativeFrom="paragraph">
                  <wp:posOffset>7049</wp:posOffset>
                </wp:positionV>
                <wp:extent cx="5416070" cy="198131"/>
                <wp:effectExtent l="0" t="0" r="0" b="0"/>
                <wp:wrapNone/>
                <wp:docPr id="18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70" cy="198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C8039" w14:textId="77777777" w:rsidR="00D61D05" w:rsidRDefault="00D61D05" w:rsidP="00D61D05">
                            <w:pPr>
                              <w:spacing w:before="21"/>
                              <w:ind w:left="274" w:right="14" w:hanging="259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4E1224"/>
                                <w:spacing w:val="-10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4E1224"/>
                                <w:spacing w:val="-10"/>
                                <w:kern w:val="24"/>
                              </w:rPr>
                              <w:t>Michoacán. Tasa específica de fecundidad adolescente, 1970-2070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21CF" id="_x0000_s1029" type="#_x0000_t202" style="position:absolute;margin-left:0;margin-top:.55pt;width:426.45pt;height:15.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" filled="f" stroked="f">
                <v:textbox style="mso-fit-shape-to-text:t" inset="0,1.05pt,0,0">
                  <w:txbxContent>
                    <w:p w14:paraId="2F9C8039" w14:textId="77777777" w:rsidR="00D61D05" w:rsidRDefault="00D61D05" w:rsidP="00D61D05">
                      <w:pPr>
                        <w:spacing w:before="21"/>
                        <w:ind w:left="274" w:right="14" w:hanging="259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4E1224"/>
                          <w:spacing w:val="-10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4E1224"/>
                          <w:spacing w:val="-10"/>
                          <w:kern w:val="24"/>
                        </w:rPr>
                        <w:t>Michoacán. Tasa específica de fecundidad adolescente, 1970-2070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D1D92" w14:textId="56C7E621" w:rsidR="00D61D05" w:rsidRDefault="00D61D05">
      <w:r>
        <w:rPr>
          <w:noProof/>
        </w:rPr>
        <w:drawing>
          <wp:anchor distT="0" distB="0" distL="114300" distR="114300" simplePos="0" relativeHeight="251663360" behindDoc="1" locked="0" layoutInCell="1" allowOverlap="1" wp14:anchorId="20CA1A2F" wp14:editId="4DD4715B">
            <wp:simplePos x="0" y="0"/>
            <wp:positionH relativeFrom="margin">
              <wp:align>center</wp:align>
            </wp:positionH>
            <wp:positionV relativeFrom="paragraph">
              <wp:posOffset>10011</wp:posOffset>
            </wp:positionV>
            <wp:extent cx="4910345" cy="2896881"/>
            <wp:effectExtent l="0" t="0" r="5080" b="0"/>
            <wp:wrapNone/>
            <wp:docPr id="271367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45" cy="289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41FE6B" w14:textId="08F5BFB3" w:rsidR="00D61D05" w:rsidRDefault="00D61D05"/>
    <w:p w14:paraId="5B44A7F4" w14:textId="77777777" w:rsidR="00D61D05" w:rsidRDefault="00D61D05"/>
    <w:p w14:paraId="42996603" w14:textId="77777777" w:rsidR="00D61D05" w:rsidRDefault="00D61D05"/>
    <w:p w14:paraId="0C3D3773" w14:textId="77777777" w:rsidR="00D61D05" w:rsidRDefault="00D61D05"/>
    <w:p w14:paraId="3B8363A6" w14:textId="77777777" w:rsidR="00D61D05" w:rsidRDefault="00D61D05"/>
    <w:p w14:paraId="2A071A14" w14:textId="77777777" w:rsidR="00D61D05" w:rsidRDefault="00D61D05"/>
    <w:p w14:paraId="0EE5E025" w14:textId="77777777" w:rsidR="00D61D05" w:rsidRDefault="00D61D05"/>
    <w:p w14:paraId="2C04E17A" w14:textId="740A5D31" w:rsidR="00D61D05" w:rsidRDefault="00D61D05"/>
    <w:sectPr w:rsidR="00D61D05" w:rsidSect="00D61D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05"/>
    <w:rsid w:val="00306165"/>
    <w:rsid w:val="00CC2111"/>
    <w:rsid w:val="00D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E787"/>
  <w15:chartTrackingRefBased/>
  <w15:docId w15:val="{C962046C-8988-4347-BF7C-F4B02BC4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2024-11-21T21:55:00Z</dcterms:created>
  <dcterms:modified xsi:type="dcterms:W3CDTF">2024-11-21T22:03:00Z</dcterms:modified>
</cp:coreProperties>
</file>